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auto"/>
          <w:sz w:val="44"/>
          <w:szCs w:val="44"/>
        </w:rPr>
      </w:pPr>
    </w:p>
    <w:p>
      <w:pPr>
        <w:jc w:val="both"/>
        <w:rPr>
          <w:rFonts w:hint="eastAsia"/>
          <w:color w:val="auto"/>
          <w:sz w:val="44"/>
          <w:szCs w:val="44"/>
          <w:u w:val="none"/>
          <w:lang w:val="en-US" w:eastAsia="zh-CN"/>
        </w:rPr>
      </w:pPr>
      <w:r>
        <w:rPr>
          <w:rFonts w:hint="eastAsia"/>
          <w:color w:val="auto"/>
          <w:sz w:val="44"/>
          <w:szCs w:val="44"/>
          <w:u w:val="none"/>
          <w:lang w:val="en-US" w:eastAsia="zh-CN"/>
        </w:rPr>
        <w:t>项目名称：</w:t>
      </w:r>
    </w:p>
    <w:p>
      <w:pPr>
        <w:jc w:val="center"/>
        <w:rPr>
          <w:rFonts w:hint="eastAsia"/>
          <w:color w:val="auto"/>
          <w:sz w:val="44"/>
          <w:szCs w:val="44"/>
          <w:u w:val="none"/>
          <w:lang w:val="en-US" w:eastAsia="zh-CN"/>
        </w:rPr>
      </w:pPr>
    </w:p>
    <w:p>
      <w:pPr>
        <w:jc w:val="center"/>
        <w:rPr>
          <w:rFonts w:hint="eastAsia"/>
          <w:color w:val="auto"/>
          <w:sz w:val="44"/>
          <w:szCs w:val="44"/>
          <w:u w:val="none"/>
          <w:lang w:val="en-US" w:eastAsia="zh-CN"/>
        </w:rPr>
      </w:pPr>
      <w:r>
        <w:rPr>
          <w:rFonts w:hint="eastAsia"/>
          <w:color w:val="auto"/>
          <w:sz w:val="44"/>
          <w:szCs w:val="44"/>
          <w:u w:val="none"/>
          <w:lang w:val="en-US" w:eastAsia="zh-CN"/>
        </w:rPr>
        <w:t>信湖煤矿主、副井主提升钢丝绳招标</w:t>
      </w:r>
    </w:p>
    <w:p>
      <w:pPr>
        <w:jc w:val="center"/>
        <w:rPr>
          <w:rFonts w:hint="eastAsia"/>
          <w:color w:val="auto"/>
          <w:sz w:val="44"/>
          <w:szCs w:val="44"/>
          <w:u w:val="none"/>
          <w:lang w:val="en-US" w:eastAsia="zh-CN"/>
        </w:rPr>
      </w:pPr>
      <w:r>
        <w:rPr>
          <w:rFonts w:hint="eastAsia"/>
          <w:color w:val="auto"/>
          <w:sz w:val="44"/>
          <w:szCs w:val="44"/>
          <w:u w:val="none"/>
          <w:lang w:val="en-US" w:eastAsia="zh-CN"/>
        </w:rPr>
        <w:t>技术规格书</w:t>
      </w:r>
    </w:p>
    <w:p>
      <w:pPr>
        <w:jc w:val="center"/>
        <w:rPr>
          <w:rFonts w:hint="eastAsia" w:ascii="宋体" w:hAnsi="宋体"/>
          <w:b/>
          <w:color w:val="auto"/>
          <w:sz w:val="44"/>
          <w:szCs w:val="44"/>
        </w:rPr>
      </w:pPr>
    </w:p>
    <w:p>
      <w:pPr>
        <w:jc w:val="center"/>
        <w:rPr>
          <w:rFonts w:hint="eastAsia" w:ascii="宋体" w:hAnsi="宋体"/>
          <w:b/>
          <w:color w:val="auto"/>
          <w:sz w:val="44"/>
          <w:szCs w:val="44"/>
        </w:rPr>
      </w:pPr>
    </w:p>
    <w:p>
      <w:pPr>
        <w:jc w:val="center"/>
        <w:rPr>
          <w:rFonts w:hint="eastAsia" w:ascii="宋体" w:hAnsi="宋体"/>
          <w:b/>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rFonts w:hint="eastAsia"/>
          <w:color w:val="auto"/>
          <w:sz w:val="44"/>
          <w:szCs w:val="44"/>
        </w:rPr>
      </w:pPr>
    </w:p>
    <w:p>
      <w:pPr>
        <w:rPr>
          <w:rFonts w:hint="eastAsia"/>
          <w:color w:val="auto"/>
          <w:sz w:val="44"/>
          <w:szCs w:val="44"/>
        </w:rPr>
      </w:pPr>
    </w:p>
    <w:p>
      <w:pPr>
        <w:rPr>
          <w:rFonts w:hint="eastAsia"/>
          <w:color w:val="auto"/>
          <w:sz w:val="32"/>
          <w:szCs w:val="32"/>
          <w:u w:val="single"/>
        </w:rPr>
      </w:pPr>
      <w:r>
        <w:rPr>
          <w:rFonts w:hint="eastAsia"/>
          <w:color w:val="auto"/>
          <w:sz w:val="32"/>
          <w:szCs w:val="32"/>
        </w:rPr>
        <w:t>编制：</w:t>
      </w:r>
      <w:r>
        <w:rPr>
          <w:rFonts w:hint="eastAsia"/>
          <w:color w:val="auto"/>
          <w:sz w:val="32"/>
          <w:szCs w:val="32"/>
          <w:u w:val="single"/>
        </w:rPr>
        <w:t xml:space="preserve">          </w:t>
      </w:r>
      <w:r>
        <w:rPr>
          <w:rFonts w:hint="eastAsia"/>
          <w:color w:val="auto"/>
          <w:sz w:val="32"/>
          <w:szCs w:val="32"/>
        </w:rPr>
        <w:t xml:space="preserve">  校对：</w:t>
      </w:r>
      <w:r>
        <w:rPr>
          <w:rFonts w:hint="eastAsia"/>
          <w:color w:val="auto"/>
          <w:sz w:val="32"/>
          <w:szCs w:val="32"/>
          <w:u w:val="single"/>
        </w:rPr>
        <w:t xml:space="preserve">          </w:t>
      </w:r>
      <w:r>
        <w:rPr>
          <w:rFonts w:hint="eastAsia"/>
          <w:color w:val="auto"/>
          <w:sz w:val="32"/>
          <w:szCs w:val="32"/>
        </w:rPr>
        <w:t xml:space="preserve">  审批：</w:t>
      </w:r>
      <w:r>
        <w:rPr>
          <w:rFonts w:hint="eastAsia"/>
          <w:color w:val="auto"/>
          <w:sz w:val="32"/>
          <w:szCs w:val="32"/>
          <w:u w:val="single"/>
        </w:rPr>
        <w:t xml:space="preserve">         </w:t>
      </w:r>
    </w:p>
    <w:p>
      <w:pPr>
        <w:jc w:val="center"/>
        <w:rPr>
          <w:rFonts w:hint="eastAsia"/>
          <w:color w:val="auto"/>
          <w:sz w:val="32"/>
          <w:szCs w:val="32"/>
        </w:rPr>
      </w:pPr>
    </w:p>
    <w:p>
      <w:pPr>
        <w:spacing w:line="560" w:lineRule="exact"/>
        <w:jc w:val="center"/>
        <w:rPr>
          <w:rFonts w:hint="eastAsia" w:ascii="黑体" w:hAnsi="黑体" w:eastAsia="黑体"/>
          <w:color w:val="auto"/>
          <w:sz w:val="36"/>
          <w:szCs w:val="36"/>
          <w:lang w:eastAsia="zh-CN"/>
        </w:rPr>
        <w:sectPr>
          <w:pgSz w:w="11906" w:h="16838"/>
          <w:pgMar w:top="1440" w:right="1800" w:bottom="1440" w:left="1800" w:header="851" w:footer="992" w:gutter="0"/>
          <w:cols w:space="425" w:num="1"/>
          <w:docGrid w:type="lines" w:linePitch="312" w:charSpace="0"/>
        </w:sectPr>
      </w:pPr>
      <w:r>
        <w:rPr>
          <w:rFonts w:hint="eastAsia"/>
          <w:color w:val="auto"/>
          <w:sz w:val="32"/>
          <w:szCs w:val="32"/>
        </w:rPr>
        <w:t>单位（盖章）：</w:t>
      </w:r>
      <w:r>
        <w:rPr>
          <w:rFonts w:hint="eastAsia"/>
          <w:color w:val="auto"/>
          <w:sz w:val="32"/>
          <w:szCs w:val="32"/>
          <w:lang w:val="en-US" w:eastAsia="zh-CN"/>
        </w:rPr>
        <w:t>安徽省亳州煤业有限公司</w:t>
      </w:r>
      <w:r>
        <w:rPr>
          <w:rFonts w:hint="eastAsia" w:ascii="Times New Roman" w:hAnsi="Times New Roman" w:cs="Times New Roman"/>
          <w:color w:val="auto"/>
          <w:sz w:val="32"/>
          <w:szCs w:val="32"/>
          <w:lang w:val="en-US" w:eastAsia="zh-CN"/>
        </w:rPr>
        <w:t>信湖</w:t>
      </w:r>
      <w:r>
        <w:rPr>
          <w:rFonts w:hint="eastAsia" w:ascii="Times New Roman" w:hAnsi="Times New Roman" w:cs="Times New Roman"/>
          <w:color w:val="auto"/>
          <w:sz w:val="32"/>
          <w:szCs w:val="32"/>
        </w:rPr>
        <w:t>煤矿</w:t>
      </w:r>
    </w:p>
    <w:p>
      <w:pPr>
        <w:jc w:val="center"/>
        <w:rPr>
          <w:rFonts w:hint="eastAsia" w:ascii="黑体" w:hAnsi="黑体" w:eastAsia="黑体"/>
          <w:color w:val="auto"/>
          <w:sz w:val="36"/>
          <w:szCs w:val="36"/>
          <w:lang w:val="en-US" w:eastAsia="zh-CN"/>
        </w:rPr>
      </w:pPr>
      <w:r>
        <w:rPr>
          <w:rFonts w:hint="eastAsia" w:ascii="黑体" w:hAnsi="黑体" w:eastAsia="黑体"/>
          <w:color w:val="auto"/>
          <w:sz w:val="36"/>
          <w:szCs w:val="36"/>
          <w:lang w:val="en-US" w:eastAsia="zh-CN"/>
        </w:rPr>
        <w:t>信湖</w:t>
      </w:r>
      <w:r>
        <w:rPr>
          <w:rFonts w:hint="eastAsia" w:ascii="黑体" w:hAnsi="黑体" w:eastAsia="黑体"/>
          <w:color w:val="auto"/>
          <w:sz w:val="36"/>
          <w:szCs w:val="36"/>
        </w:rPr>
        <w:t>煤</w:t>
      </w:r>
      <w:r>
        <w:rPr>
          <w:rFonts w:hint="eastAsia" w:ascii="黑体" w:hAnsi="黑体" w:eastAsia="黑体"/>
          <w:color w:val="auto"/>
          <w:sz w:val="36"/>
          <w:szCs w:val="36"/>
          <w:lang w:eastAsia="zh-CN"/>
        </w:rPr>
        <w:t>矿</w:t>
      </w:r>
      <w:r>
        <w:rPr>
          <w:rFonts w:hint="eastAsia" w:ascii="黑体" w:hAnsi="黑体" w:eastAsia="黑体"/>
          <w:color w:val="auto"/>
          <w:sz w:val="36"/>
          <w:szCs w:val="36"/>
          <w:lang w:val="en-US" w:eastAsia="zh-CN"/>
        </w:rPr>
        <w:t>主、副</w:t>
      </w:r>
      <w:r>
        <w:rPr>
          <w:rFonts w:hint="eastAsia" w:ascii="黑体" w:hAnsi="黑体" w:eastAsia="黑体"/>
          <w:color w:val="auto"/>
          <w:sz w:val="36"/>
          <w:szCs w:val="36"/>
          <w:lang w:eastAsia="zh-CN"/>
        </w:rPr>
        <w:t>井</w:t>
      </w:r>
      <w:r>
        <w:rPr>
          <w:rFonts w:hint="eastAsia" w:ascii="黑体" w:hAnsi="黑体" w:eastAsia="黑体"/>
          <w:color w:val="auto"/>
          <w:sz w:val="36"/>
          <w:szCs w:val="36"/>
          <w:lang w:val="en-US" w:eastAsia="zh-CN"/>
        </w:rPr>
        <w:t>主</w:t>
      </w:r>
      <w:r>
        <w:rPr>
          <w:rFonts w:hint="eastAsia" w:ascii="黑体" w:hAnsi="黑体" w:eastAsia="黑体"/>
          <w:color w:val="auto"/>
          <w:sz w:val="36"/>
          <w:szCs w:val="36"/>
        </w:rPr>
        <w:t>提升钢丝绳</w:t>
      </w:r>
      <w:r>
        <w:rPr>
          <w:rFonts w:hint="eastAsia" w:ascii="黑体" w:hAnsi="黑体" w:eastAsia="黑体"/>
          <w:color w:val="auto"/>
          <w:sz w:val="36"/>
          <w:szCs w:val="36"/>
          <w:lang w:val="en-US" w:eastAsia="zh-CN"/>
        </w:rPr>
        <w:t>招标</w:t>
      </w:r>
    </w:p>
    <w:p>
      <w:pPr>
        <w:jc w:val="center"/>
        <w:rPr>
          <w:rFonts w:hint="eastAsia" w:ascii="黑体" w:hAnsi="黑体" w:eastAsia="黑体"/>
          <w:color w:val="auto"/>
          <w:sz w:val="36"/>
          <w:szCs w:val="36"/>
        </w:rPr>
      </w:pPr>
      <w:r>
        <w:rPr>
          <w:rFonts w:hint="eastAsia" w:ascii="黑体" w:hAnsi="黑体" w:eastAsia="黑体"/>
          <w:color w:val="auto"/>
          <w:sz w:val="36"/>
          <w:szCs w:val="36"/>
        </w:rPr>
        <w:t>技术规格书</w:t>
      </w:r>
    </w:p>
    <w:p>
      <w:pPr>
        <w:jc w:val="center"/>
        <w:rPr>
          <w:rFonts w:hint="eastAsia" w:ascii="黑体" w:hAnsi="黑体" w:eastAsia="黑体"/>
          <w:color w:val="auto"/>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一、项目概况及招标范围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1.项目概况：镀锌三角股钢丝绳，</w:t>
      </w:r>
      <w:r>
        <w:rPr>
          <w:rFonts w:hint="eastAsia" w:ascii="仿宋_GB2312" w:hAnsi="仿宋_GB2312" w:eastAsia="仿宋_GB2312" w:cs="仿宋_GB2312"/>
          <w:color w:val="auto"/>
          <w:sz w:val="32"/>
          <w:szCs w:val="32"/>
          <w:highlight w:val="none"/>
        </w:rPr>
        <w:t>淮北矿业</w:t>
      </w:r>
      <w:r>
        <w:rPr>
          <w:rFonts w:hint="eastAsia" w:ascii="仿宋_GB2312" w:hAnsi="仿宋_GB2312" w:eastAsia="仿宋_GB2312" w:cs="仿宋_GB2312"/>
          <w:color w:val="auto"/>
          <w:sz w:val="32"/>
          <w:szCs w:val="32"/>
          <w:highlight w:val="none"/>
          <w:lang w:val="en-US" w:eastAsia="zh-CN"/>
        </w:rPr>
        <w:t>股份有限公司</w:t>
      </w:r>
      <w:r>
        <w:rPr>
          <w:rFonts w:hint="eastAsia" w:ascii="仿宋_GB2312" w:hAnsi="宋体" w:eastAsia="仿宋_GB2312" w:cs="仿宋_GB2312"/>
          <w:color w:val="auto"/>
          <w:sz w:val="32"/>
          <w:szCs w:val="32"/>
          <w:lang w:val="en-US" w:eastAsia="zh-CN"/>
        </w:rPr>
        <w:t>信湖</w:t>
      </w:r>
      <w:r>
        <w:rPr>
          <w:rFonts w:hint="eastAsia" w:ascii="仿宋_GB2312" w:hAnsi="宋体" w:eastAsia="仿宋_GB2312" w:cs="仿宋_GB2312"/>
          <w:color w:val="auto"/>
          <w:sz w:val="32"/>
          <w:szCs w:val="32"/>
        </w:rPr>
        <w:t>煤矿</w:t>
      </w:r>
      <w:r>
        <w:rPr>
          <w:rFonts w:hint="eastAsia" w:ascii="仿宋_GB2312" w:hAnsi="宋体" w:eastAsia="仿宋_GB2312" w:cs="仿宋_GB2312"/>
          <w:color w:val="auto"/>
          <w:sz w:val="32"/>
          <w:szCs w:val="32"/>
          <w:lang w:val="en-US" w:eastAsia="zh-CN"/>
        </w:rPr>
        <w:t>主、副</w:t>
      </w:r>
      <w:r>
        <w:rPr>
          <w:rFonts w:hint="eastAsia" w:ascii="仿宋_GB2312" w:hAnsi="宋体" w:eastAsia="仿宋_GB2312" w:cs="仿宋_GB2312"/>
          <w:color w:val="auto"/>
          <w:sz w:val="32"/>
          <w:szCs w:val="32"/>
        </w:rPr>
        <w:t>井</w:t>
      </w:r>
      <w:r>
        <w:rPr>
          <w:rFonts w:hint="eastAsia" w:ascii="仿宋_GB2312" w:hAnsi="宋体" w:eastAsia="仿宋_GB2312" w:cs="仿宋_GB2312"/>
          <w:color w:val="auto"/>
          <w:sz w:val="32"/>
          <w:szCs w:val="32"/>
          <w:highlight w:val="none"/>
        </w:rPr>
        <w:t>提升</w:t>
      </w:r>
      <w:r>
        <w:rPr>
          <w:rFonts w:hint="eastAsia" w:ascii="仿宋_GB2312" w:hAnsi="宋体" w:eastAsia="仿宋_GB2312" w:cs="仿宋_GB2312"/>
          <w:color w:val="auto"/>
          <w:sz w:val="32"/>
          <w:szCs w:val="32"/>
          <w:highlight w:val="none"/>
          <w:lang w:val="en-US" w:eastAsia="zh-CN"/>
        </w:rPr>
        <w:t>系统</w:t>
      </w:r>
      <w:r>
        <w:rPr>
          <w:rFonts w:hint="eastAsia" w:ascii="仿宋_GB2312" w:hAnsi="宋体" w:eastAsia="仿宋_GB2312" w:cs="仿宋_GB2312"/>
          <w:color w:val="auto"/>
          <w:sz w:val="32"/>
          <w:szCs w:val="32"/>
          <w:highlight w:val="none"/>
        </w:rPr>
        <w:t>使用，提升类型为多绳摩擦式</w:t>
      </w:r>
      <w:r>
        <w:rPr>
          <w:rFonts w:hint="eastAsia" w:ascii="仿宋_GB2312" w:hAnsi="宋体" w:eastAsia="仿宋_GB2312" w:cs="仿宋_GB2312"/>
          <w:color w:val="auto"/>
          <w:sz w:val="32"/>
          <w:szCs w:val="32"/>
          <w:highlight w:val="none"/>
          <w:lang w:val="en-US" w:eastAsia="zh-CN"/>
        </w:rPr>
        <w:t>提升机</w:t>
      </w:r>
      <w:r>
        <w:rPr>
          <w:rFonts w:hint="eastAsia" w:ascii="仿宋_GB2312" w:hAnsi="宋体" w:eastAsia="仿宋_GB2312" w:cs="仿宋_GB2312"/>
          <w:color w:val="auto"/>
          <w:sz w:val="32"/>
          <w:szCs w:val="32"/>
          <w:highlight w:val="none"/>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2.招标范围：</w:t>
      </w:r>
      <w:r>
        <w:rPr>
          <w:rFonts w:hint="eastAsia" w:ascii="仿宋_GB2312" w:hAnsi="宋体" w:eastAsia="仿宋_GB2312" w:cs="仿宋_GB2312"/>
          <w:color w:val="auto"/>
          <w:sz w:val="32"/>
          <w:szCs w:val="32"/>
          <w:lang w:val="en-US" w:eastAsia="zh-CN"/>
        </w:rPr>
        <w:t>8</w:t>
      </w:r>
      <w:r>
        <w:rPr>
          <w:rFonts w:hint="eastAsia" w:ascii="仿宋_GB2312" w:hAnsi="宋体" w:eastAsia="仿宋_GB2312" w:cs="仿宋_GB2312"/>
          <w:color w:val="auto"/>
          <w:sz w:val="32"/>
          <w:szCs w:val="32"/>
        </w:rPr>
        <w:t>根</w:t>
      </w:r>
      <w:r>
        <w:rPr>
          <w:rFonts w:hint="eastAsia" w:ascii="仿宋_GB2312" w:hAnsi="仿宋_GB2312" w:eastAsia="仿宋_GB2312" w:cs="仿宋_GB2312"/>
          <w:color w:val="auto"/>
          <w:sz w:val="32"/>
          <w:szCs w:val="32"/>
          <w:highlight w:val="none"/>
          <w:lang w:val="en-US" w:eastAsia="zh-CN"/>
        </w:rPr>
        <w:t>Φ</w:t>
      </w:r>
      <w:r>
        <w:rPr>
          <w:rFonts w:hint="eastAsia" w:ascii="仿宋_GB2312" w:hAnsi="宋体" w:eastAsia="仿宋_GB2312" w:cs="仿宋_GB2312"/>
          <w:color w:val="auto"/>
          <w:sz w:val="32"/>
          <w:szCs w:val="32"/>
          <w:lang w:val="en-US" w:eastAsia="zh-CN"/>
        </w:rPr>
        <w:t>50</w:t>
      </w:r>
      <w:r>
        <w:rPr>
          <w:rFonts w:hint="eastAsia" w:ascii="仿宋_GB2312" w:hAnsi="宋体" w:eastAsia="仿宋_GB2312" w:cs="仿宋_GB2312"/>
          <w:color w:val="auto"/>
          <w:sz w:val="32"/>
          <w:szCs w:val="32"/>
        </w:rPr>
        <w:t>.0mm进口镀锌三角股钢丝绳</w:t>
      </w:r>
      <w:r>
        <w:rPr>
          <w:rFonts w:hint="eastAsia" w:ascii="仿宋_GB2312" w:hAnsi="仿宋_GB2312" w:eastAsia="仿宋_GB2312" w:cs="仿宋_GB2312"/>
          <w:color w:val="auto"/>
          <w:sz w:val="32"/>
          <w:szCs w:val="32"/>
          <w:lang w:val="en-US" w:eastAsia="zh-CN"/>
        </w:rPr>
        <w:t>112353.6</w:t>
      </w:r>
      <w:r>
        <w:rPr>
          <w:rFonts w:hint="eastAsia" w:ascii="仿宋_GB2312" w:hAnsi="宋体" w:eastAsia="仿宋_GB2312" w:cs="仿宋_GB2312"/>
          <w:color w:val="auto"/>
          <w:sz w:val="32"/>
          <w:szCs w:val="32"/>
        </w:rPr>
        <w:t>kg。本次招标数量为理论计算数量，中标后一次性签订合同，依据实际收货</w:t>
      </w:r>
      <w:r>
        <w:rPr>
          <w:rFonts w:hint="eastAsia" w:ascii="仿宋_GB2312" w:hAnsi="宋体" w:eastAsia="仿宋_GB2312" w:cs="仿宋_GB2312"/>
          <w:color w:val="auto"/>
          <w:sz w:val="32"/>
          <w:szCs w:val="32"/>
          <w:lang w:val="en-US" w:eastAsia="zh-CN"/>
        </w:rPr>
        <w:t>数</w:t>
      </w:r>
      <w:r>
        <w:rPr>
          <w:rFonts w:hint="eastAsia" w:ascii="仿宋_GB2312" w:hAnsi="宋体" w:eastAsia="仿宋_GB2312" w:cs="仿宋_GB2312"/>
          <w:color w:val="auto"/>
          <w:sz w:val="32"/>
          <w:szCs w:val="32"/>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三、主要技术参数及技术要求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（一）钢丝绳技术参数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1.钢丝绳名称：</w:t>
      </w:r>
      <w:r>
        <w:rPr>
          <w:rFonts w:hint="eastAsia" w:ascii="仿宋_GB2312" w:hAnsi="宋体" w:eastAsia="仿宋_GB2312" w:cs="仿宋_GB2312"/>
          <w:color w:val="auto"/>
          <w:sz w:val="32"/>
          <w:szCs w:val="32"/>
        </w:rPr>
        <w:t>镀锌三角股钢丝绳</w:t>
      </w:r>
      <w:r>
        <w:rPr>
          <w:rFonts w:hint="eastAsia" w:ascii="仿宋_GB2312" w:hAnsi="宋体" w:eastAsia="仿宋_GB2312" w:cs="仿宋_GB2312"/>
          <w:color w:val="auto"/>
          <w:sz w:val="32"/>
          <w:szCs w:val="32"/>
          <w:lang w:eastAsia="zh-CN"/>
        </w:rPr>
        <w:t>。</w:t>
      </w:r>
    </w:p>
    <w:p>
      <w:pPr>
        <w:spacing w:line="560" w:lineRule="exact"/>
        <w:ind w:firstLine="640" w:firstLineChars="200"/>
        <w:jc w:val="both"/>
        <w:rPr>
          <w:rFonts w:hint="eastAsia"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32"/>
          <w:szCs w:val="32"/>
          <w:lang w:val="en-US" w:eastAsia="zh-CN"/>
        </w:rPr>
        <w:t>2.钢丝绳结构（参考）：</w:t>
      </w:r>
      <w:r>
        <w:rPr>
          <w:rFonts w:hint="eastAsia" w:ascii="仿宋_GB2312" w:hAnsi="宋体" w:eastAsia="仿宋_GB2312" w:cs="仿宋_GB2312"/>
          <w:color w:val="auto"/>
          <w:sz w:val="28"/>
          <w:szCs w:val="28"/>
          <w:highlight w:val="none"/>
          <w:vertAlign w:val="baseline"/>
        </w:rPr>
        <w:t>6×33(15/12/6+3T)/F</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.钢丝绳直径</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lang w:val="en-US" w:eastAsia="zh-CN"/>
        </w:rPr>
        <w:t>50.0</w:t>
      </w:r>
      <w:r>
        <w:rPr>
          <w:rFonts w:hint="eastAsia" w:ascii="仿宋_GB2312" w:hAnsi="宋体" w:eastAsia="仿宋_GB2312" w:cs="仿宋_GB2312"/>
          <w:color w:val="auto"/>
          <w:sz w:val="32"/>
          <w:szCs w:val="32"/>
        </w:rPr>
        <w:t>mm。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4</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钢丝绳</w:t>
      </w:r>
      <w:r>
        <w:rPr>
          <w:rFonts w:hint="eastAsia" w:ascii="仿宋_GB2312" w:hAnsi="宋体" w:eastAsia="仿宋_GB2312" w:cs="仿宋_GB2312"/>
          <w:color w:val="auto"/>
          <w:sz w:val="32"/>
          <w:szCs w:val="32"/>
        </w:rPr>
        <w:t>长度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lang w:val="en-US" w:eastAsia="zh-CN"/>
        </w:rPr>
        <w:t>1335</w:t>
      </w:r>
      <w:r>
        <w:rPr>
          <w:rFonts w:hint="eastAsia" w:ascii="仿宋_GB2312" w:hAnsi="宋体" w:eastAsia="仿宋_GB2312" w:cs="仿宋_GB2312"/>
          <w:color w:val="auto"/>
          <w:sz w:val="32"/>
          <w:szCs w:val="32"/>
        </w:rPr>
        <w:t>m</w:t>
      </w:r>
      <w:r>
        <w:rPr>
          <w:rFonts w:hint="eastAsia" w:ascii="仿宋_GB2312" w:hAnsi="宋体" w:eastAsia="仿宋_GB2312" w:cs="仿宋_GB2312"/>
          <w:color w:val="auto"/>
          <w:sz w:val="32"/>
          <w:szCs w:val="32"/>
          <w:lang w:val="en-US" w:eastAsia="zh-CN"/>
        </w:rPr>
        <w:t>/根。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5.钢丝绳数量：2套，</w:t>
      </w:r>
      <w:r>
        <w:rPr>
          <w:rFonts w:hint="eastAsia" w:ascii="仿宋_GB2312" w:hAnsi="宋体" w:eastAsia="仿宋_GB2312" w:cs="仿宋_GB2312"/>
          <w:color w:val="auto"/>
          <w:sz w:val="32"/>
          <w:szCs w:val="32"/>
        </w:rPr>
        <w:t>共</w:t>
      </w:r>
      <w:r>
        <w:rPr>
          <w:rFonts w:hint="eastAsia" w:ascii="仿宋_GB2312" w:hAnsi="宋体" w:eastAsia="仿宋_GB2312" w:cs="仿宋_GB2312"/>
          <w:color w:val="auto"/>
          <w:sz w:val="32"/>
          <w:szCs w:val="32"/>
          <w:lang w:val="en-US" w:eastAsia="zh-CN"/>
        </w:rPr>
        <w:t>8</w:t>
      </w:r>
      <w:r>
        <w:rPr>
          <w:rFonts w:hint="eastAsia" w:ascii="仿宋_GB2312" w:hAnsi="宋体" w:eastAsia="仿宋_GB2312" w:cs="仿宋_GB2312"/>
          <w:color w:val="auto"/>
          <w:sz w:val="32"/>
          <w:szCs w:val="32"/>
        </w:rPr>
        <w:t>根。</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lang w:val="en-US" w:eastAsia="zh-CN"/>
        </w:rPr>
        <w:t>：10.52kg/m。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7</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钢丝绳</w:t>
      </w:r>
      <w:r>
        <w:rPr>
          <w:rFonts w:hint="eastAsia" w:ascii="仿宋_GB2312" w:hAnsi="宋体" w:eastAsia="仿宋_GB2312" w:cs="仿宋_GB2312"/>
          <w:color w:val="auto"/>
          <w:sz w:val="32"/>
          <w:szCs w:val="32"/>
        </w:rPr>
        <w:t>捻向：</w:t>
      </w:r>
      <w:r>
        <w:rPr>
          <w:rFonts w:hint="eastAsia" w:ascii="仿宋_GB2312" w:hAnsi="宋体" w:eastAsia="仿宋_GB2312" w:cs="仿宋_GB2312"/>
          <w:color w:val="auto"/>
          <w:sz w:val="32"/>
          <w:szCs w:val="32"/>
          <w:highlight w:val="none"/>
          <w:lang w:val="en-US" w:eastAsia="zh-CN"/>
        </w:rPr>
        <w:t>在技术协议中规定</w:t>
      </w:r>
      <w:bookmarkStart w:id="0" w:name="_GoBack"/>
      <w:bookmarkEnd w:id="0"/>
      <w:r>
        <w:rPr>
          <w:rFonts w:hint="eastAsia" w:ascii="仿宋_GB2312" w:hAnsi="宋体"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8</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钢丝</w:t>
      </w:r>
      <w:r>
        <w:rPr>
          <w:rFonts w:hint="eastAsia" w:ascii="仿宋_GB2312" w:hAnsi="宋体" w:eastAsia="仿宋_GB2312" w:cs="仿宋_GB2312"/>
          <w:color w:val="auto"/>
          <w:sz w:val="32"/>
          <w:szCs w:val="32"/>
        </w:rPr>
        <w:t>公称抗拉强度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1</w:t>
      </w:r>
      <w:r>
        <w:rPr>
          <w:rFonts w:hint="eastAsia" w:ascii="仿宋_GB2312" w:hAnsi="宋体" w:eastAsia="仿宋_GB2312" w:cs="仿宋_GB2312"/>
          <w:color w:val="auto"/>
          <w:sz w:val="32"/>
          <w:szCs w:val="32"/>
          <w:lang w:val="en-US" w:eastAsia="zh-CN"/>
        </w:rPr>
        <w:t>7</w:t>
      </w:r>
      <w:r>
        <w:rPr>
          <w:rFonts w:hint="eastAsia" w:ascii="仿宋_GB2312" w:hAnsi="宋体" w:eastAsia="仿宋_GB2312" w:cs="仿宋_GB2312"/>
          <w:color w:val="auto"/>
          <w:sz w:val="32"/>
          <w:szCs w:val="32"/>
        </w:rPr>
        <w:t>70MPa。</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w:t>
      </w:r>
      <w:r>
        <w:rPr>
          <w:rFonts w:hint="eastAsia" w:ascii="仿宋" w:hAnsi="仿宋" w:eastAsia="仿宋"/>
          <w:color w:val="auto"/>
          <w:sz w:val="32"/>
          <w:szCs w:val="32"/>
          <w:highlight w:val="none"/>
          <w:lang w:val="en-US" w:eastAsia="zh-CN"/>
        </w:rPr>
        <w:t>钢丝绳破断拉力总和不低于</w:t>
      </w:r>
      <w:r>
        <w:rPr>
          <w:rFonts w:hint="eastAsia" w:ascii="仿宋_GB2312" w:hAnsi="仿宋_GB2312" w:eastAsia="仿宋_GB2312" w:cs="仿宋_GB2312"/>
          <w:color w:val="auto"/>
          <w:sz w:val="32"/>
          <w:szCs w:val="32"/>
          <w:lang w:val="en-US" w:eastAsia="zh-CN"/>
        </w:rPr>
        <w:t>2019.7k</w:t>
      </w:r>
      <w:r>
        <w:rPr>
          <w:rFonts w:hint="eastAsia" w:ascii="仿宋_GB2312" w:hAnsi="仿宋_GB2312" w:eastAsia="仿宋_GB2312" w:cs="仿宋_GB2312"/>
          <w:color w:val="auto"/>
          <w:sz w:val="32"/>
          <w:szCs w:val="32"/>
        </w:rPr>
        <w:t>N。</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.镀锌：</w:t>
      </w:r>
      <w:r>
        <w:rPr>
          <w:rFonts w:hint="eastAsia" w:ascii="仿宋_GB2312" w:hAnsi="宋体" w:eastAsia="仿宋_GB2312" w:cs="仿宋_GB2312"/>
          <w:color w:val="auto"/>
          <w:sz w:val="32"/>
          <w:szCs w:val="32"/>
          <w:highlight w:val="none"/>
        </w:rPr>
        <w:t>B级镀锌</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11</w:t>
      </w:r>
      <w:r>
        <w:rPr>
          <w:rFonts w:hint="eastAsia" w:ascii="仿宋_GB2312" w:hAnsi="宋体" w:eastAsia="仿宋_GB2312" w:cs="仿宋_GB2312"/>
          <w:color w:val="auto"/>
          <w:sz w:val="32"/>
          <w:szCs w:val="32"/>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lang w:val="en-US" w:eastAsia="zh-CN"/>
        </w:rPr>
        <w:t>在</w:t>
      </w:r>
      <w:r>
        <w:rPr>
          <w:rFonts w:hint="eastAsia" w:ascii="仿宋_GB2312" w:hAnsi="宋体" w:eastAsia="仿宋_GB2312" w:cs="仿宋_GB2312"/>
          <w:color w:val="auto"/>
          <w:sz w:val="32"/>
          <w:szCs w:val="32"/>
        </w:rPr>
        <w:t>正常使用情况</w:t>
      </w:r>
      <w:r>
        <w:rPr>
          <w:rFonts w:hint="eastAsia" w:ascii="仿宋_GB2312" w:hAnsi="宋体" w:eastAsia="仿宋_GB2312" w:cs="仿宋_GB2312"/>
          <w:color w:val="auto"/>
          <w:sz w:val="32"/>
          <w:szCs w:val="32"/>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5.钢丝绳不得出现</w:t>
      </w:r>
      <w:r>
        <w:rPr>
          <w:rFonts w:hint="eastAsia" w:ascii="仿宋_GB2312" w:hAnsi="宋体" w:eastAsia="仿宋_GB2312" w:cs="仿宋_GB2312"/>
          <w:color w:val="auto"/>
          <w:sz w:val="32"/>
          <w:szCs w:val="32"/>
        </w:rPr>
        <w:t>MT</w:t>
      </w:r>
      <w:r>
        <w:rPr>
          <w:rFonts w:hint="eastAsia" w:ascii="仿宋_GB2312" w:hAnsi="宋体" w:eastAsia="仿宋_GB2312" w:cs="仿宋_GB2312"/>
          <w:color w:val="auto"/>
          <w:sz w:val="32"/>
          <w:szCs w:val="32"/>
          <w:lang w:val="en-US" w:eastAsia="zh-CN"/>
        </w:rPr>
        <w:t xml:space="preserve">/T </w:t>
      </w:r>
      <w:r>
        <w:rPr>
          <w:rFonts w:hint="eastAsia" w:ascii="仿宋_GB2312" w:hAnsi="宋体" w:eastAsia="仿宋_GB2312" w:cs="仿宋_GB2312"/>
          <w:color w:val="auto"/>
          <w:sz w:val="32"/>
          <w:szCs w:val="32"/>
        </w:rPr>
        <w:t>716</w:t>
      </w:r>
      <w:r>
        <w:rPr>
          <w:rFonts w:hint="eastAsia" w:ascii="仿宋_GB2312" w:hAnsi="宋体" w:eastAsia="仿宋_GB2312" w:cs="仿宋_GB2312"/>
          <w:color w:val="auto"/>
          <w:sz w:val="32"/>
          <w:szCs w:val="32"/>
          <w:highlight w:val="none"/>
        </w:rPr>
        <w:t>-2019</w:t>
      </w:r>
      <w:r>
        <w:rPr>
          <w:rFonts w:hint="eastAsia" w:ascii="仿宋_GB2312" w:hAnsi="宋体" w:eastAsia="仿宋_GB2312" w:cs="仿宋_GB2312"/>
          <w:color w:val="auto"/>
          <w:sz w:val="32"/>
          <w:szCs w:val="32"/>
        </w:rPr>
        <w:t>规定</w:t>
      </w:r>
      <w:r>
        <w:rPr>
          <w:rFonts w:hint="eastAsia" w:ascii="仿宋_GB2312" w:hAnsi="宋体" w:eastAsia="仿宋_GB2312" w:cs="仿宋_GB2312"/>
          <w:color w:val="auto"/>
          <w:sz w:val="32"/>
          <w:szCs w:val="32"/>
          <w:lang w:val="en-US" w:eastAsia="zh-CN"/>
        </w:rPr>
        <w:t>的外观缺陷；在</w:t>
      </w:r>
      <w:r>
        <w:rPr>
          <w:rFonts w:hint="eastAsia" w:ascii="仿宋_GB2312" w:hAnsi="宋体" w:eastAsia="仿宋_GB2312" w:cs="仿宋_GB2312"/>
          <w:color w:val="auto"/>
          <w:sz w:val="32"/>
          <w:szCs w:val="32"/>
        </w:rPr>
        <w:t>正常使用情况下</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断丝不能超过</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.钢丝绳伸</w:t>
      </w:r>
      <w:r>
        <w:rPr>
          <w:rFonts w:hint="eastAsia" w:ascii="仿宋_GB2312" w:hAnsi="宋体" w:eastAsia="仿宋_GB2312" w:cs="仿宋_GB2312"/>
          <w:color w:val="auto"/>
          <w:sz w:val="32"/>
          <w:szCs w:val="32"/>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8.钢丝绳的实测长度在无负荷状态下允许与订货长度偏差：</w:t>
      </w:r>
      <w:r>
        <w:rPr>
          <w:rFonts w:hint="eastAsia" w:ascii="仿宋_GB2312" w:hAnsi="仿宋_GB2312" w:eastAsia="仿宋_GB2312" w:cs="仿宋_GB2312"/>
          <w:color w:val="auto"/>
          <w:sz w:val="32"/>
          <w:szCs w:val="32"/>
          <w:lang w:val="en-US" w:eastAsia="zh-CN"/>
        </w:rPr>
        <w:t>0</w:t>
      </w:r>
      <w:r>
        <w:rPr>
          <w:rFonts w:hint="eastAsia" w:ascii="仿宋_GB2312" w:hAnsi="宋体"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+2%（</w:t>
      </w:r>
      <w:r>
        <w:rPr>
          <w:rFonts w:hint="eastAsia" w:ascii="仿宋_GB2312" w:hAnsi="宋体" w:eastAsia="仿宋_GB2312" w:cs="仿宋_GB2312"/>
          <w:color w:val="auto"/>
          <w:sz w:val="32"/>
          <w:szCs w:val="32"/>
          <w:lang w:val="en-US" w:eastAsia="zh-CN"/>
        </w:rPr>
        <w:t>钢丝绳长度</w:t>
      </w:r>
      <w:r>
        <w:rPr>
          <w:rFonts w:hint="eastAsia" w:ascii="微软雅黑" w:hAnsi="微软雅黑" w:eastAsia="微软雅黑" w:cs="微软雅黑"/>
          <w:color w:val="auto"/>
          <w:sz w:val="32"/>
          <w:szCs w:val="32"/>
          <w:lang w:val="en-US" w:eastAsia="zh-CN"/>
        </w:rPr>
        <w:t>&gt;</w:t>
      </w:r>
      <w:r>
        <w:rPr>
          <w:rFonts w:hint="eastAsia" w:ascii="仿宋_GB2312" w:hAnsi="仿宋_GB2312" w:eastAsia="仿宋_GB2312" w:cs="仿宋_GB2312"/>
          <w:color w:val="auto"/>
          <w:sz w:val="32"/>
          <w:szCs w:val="32"/>
          <w:lang w:val="en-US" w:eastAsia="zh-CN"/>
        </w:rPr>
        <w:t>1000m）</w:t>
      </w:r>
      <w:r>
        <w:rPr>
          <w:rFonts w:hint="eastAsia" w:ascii="仿宋_GB2312" w:hAnsi="宋体" w:eastAsia="仿宋_GB2312" w:cs="仿宋_GB2312"/>
          <w:color w:val="auto"/>
          <w:sz w:val="32"/>
          <w:szCs w:val="32"/>
          <w:lang w:val="en-US" w:eastAsia="zh-CN"/>
        </w:rPr>
        <w:t>。</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w:t>
      </w:r>
      <w:r>
        <w:rPr>
          <w:rFonts w:hint="eastAsia" w:ascii="仿宋_GB2312" w:hAnsi="宋体" w:eastAsia="仿宋_GB2312" w:cs="仿宋_GB2312"/>
          <w:color w:val="auto"/>
          <w:sz w:val="32"/>
          <w:szCs w:val="32"/>
          <w:lang w:val="en-US" w:eastAsia="zh-CN"/>
        </w:rPr>
        <w:t>的</w:t>
      </w:r>
      <w:r>
        <w:rPr>
          <w:rFonts w:hint="eastAsia" w:ascii="仿宋_GB2312" w:hAnsi="宋体" w:eastAsia="仿宋_GB2312" w:cs="仿宋_GB2312"/>
          <w:color w:val="auto"/>
          <w:sz w:val="32"/>
          <w:szCs w:val="32"/>
        </w:rPr>
        <w:t>实</w:t>
      </w:r>
      <w:r>
        <w:rPr>
          <w:rFonts w:hint="eastAsia" w:ascii="仿宋_GB2312" w:hAnsi="宋体" w:eastAsia="仿宋_GB2312" w:cs="仿宋_GB2312"/>
          <w:color w:val="auto"/>
          <w:sz w:val="32"/>
          <w:szCs w:val="32"/>
          <w:lang w:val="en-US" w:eastAsia="zh-CN"/>
        </w:rPr>
        <w:t>测</w:t>
      </w:r>
      <w:r>
        <w:rPr>
          <w:rFonts w:hint="eastAsia" w:ascii="仿宋_GB2312" w:hAnsi="宋体" w:eastAsia="仿宋_GB2312" w:cs="仿宋_GB2312"/>
          <w:color w:val="auto"/>
          <w:sz w:val="32"/>
          <w:szCs w:val="32"/>
        </w:rPr>
        <w:t>重量偏差</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-2%～+5%。</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.钢丝绳注油要求：</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钢丝绳挂绳后在提升机设计速度下运行不甩油</w:t>
      </w:r>
      <w:r>
        <w:rPr>
          <w:rFonts w:hint="eastAsia" w:ascii="仿宋_GB2312" w:hAnsi="宋体" w:eastAsia="仿宋_GB2312" w:cs="仿宋_GB2312"/>
          <w:color w:val="auto"/>
          <w:sz w:val="32"/>
          <w:szCs w:val="32"/>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1.钢丝绳质量符合</w:t>
      </w:r>
      <w:r>
        <w:rPr>
          <w:rFonts w:hint="eastAsia" w:ascii="仿宋_GB2312" w:hAnsi="宋体" w:eastAsia="仿宋_GB2312" w:cs="仿宋_GB2312"/>
          <w:color w:val="auto"/>
          <w:sz w:val="32"/>
          <w:szCs w:val="32"/>
        </w:rPr>
        <w:t>中国国家标准GB/T 8918-2006及煤炭行业MT/T 716-2019标准</w:t>
      </w:r>
      <w:r>
        <w:rPr>
          <w:rFonts w:hint="eastAsia" w:ascii="仿宋_GB2312" w:hAnsi="宋体" w:eastAsia="仿宋_GB2312" w:cs="仿宋_GB2312"/>
          <w:color w:val="auto"/>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验收和检验执行标准：MT/T716-2019</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.所供应的产品必须提供</w:t>
      </w:r>
      <w:r>
        <w:rPr>
          <w:rFonts w:hint="eastAsia" w:ascii="仿宋_GB2312" w:hAnsi="宋体" w:eastAsia="仿宋_GB2312" w:cs="仿宋_GB2312"/>
          <w:color w:val="auto"/>
          <w:sz w:val="32"/>
          <w:szCs w:val="32"/>
          <w:lang w:val="en-US" w:eastAsia="zh-CN"/>
        </w:rPr>
        <w:t>出</w:t>
      </w:r>
      <w:r>
        <w:rPr>
          <w:rFonts w:hint="eastAsia" w:ascii="仿宋_GB2312" w:hAnsi="宋体" w:eastAsia="仿宋_GB2312" w:cs="仿宋_GB2312"/>
          <w:color w:val="auto"/>
          <w:sz w:val="32"/>
          <w:szCs w:val="32"/>
        </w:rPr>
        <w:t>厂检验证明</w:t>
      </w:r>
      <w:r>
        <w:rPr>
          <w:rFonts w:hint="eastAsia" w:ascii="仿宋_GB2312" w:hAnsi="宋体" w:eastAsia="仿宋_GB2312" w:cs="仿宋_GB2312"/>
          <w:color w:val="auto"/>
          <w:sz w:val="32"/>
          <w:szCs w:val="32"/>
          <w:lang w:val="en-US" w:eastAsia="zh-CN"/>
        </w:rPr>
        <w:t>、</w:t>
      </w:r>
      <w:r>
        <w:rPr>
          <w:rFonts w:hint="eastAsia" w:ascii="仿宋_GB2312" w:hAnsi="宋体" w:eastAsia="仿宋_GB2312" w:cs="仿宋_GB2312"/>
          <w:color w:val="auto"/>
          <w:sz w:val="32"/>
          <w:szCs w:val="32"/>
        </w:rPr>
        <w:t>钢丝绳原产地证明书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商检证书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产品合格证、质量证明书、煤矿矿用产品安全标志（MA标志）等资料。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五、“三包”要求</w:t>
      </w:r>
    </w:p>
    <w:p>
      <w:pPr>
        <w:spacing w:line="560" w:lineRule="exact"/>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如有任何质量问题，在收到</w:t>
      </w:r>
      <w:r>
        <w:rPr>
          <w:rFonts w:hint="eastAsia" w:ascii="仿宋_GB2312" w:hAnsi="宋体" w:eastAsia="仿宋_GB2312" w:cs="仿宋_GB2312"/>
          <w:color w:val="auto"/>
          <w:sz w:val="32"/>
          <w:szCs w:val="32"/>
          <w:lang w:val="en-US" w:eastAsia="zh-CN"/>
        </w:rPr>
        <w:t>使用单位</w:t>
      </w:r>
      <w:r>
        <w:rPr>
          <w:rFonts w:hint="eastAsia" w:ascii="仿宋_GB2312" w:hAnsi="宋体" w:eastAsia="仿宋_GB2312" w:cs="仿宋_GB2312"/>
          <w:color w:val="auto"/>
          <w:sz w:val="32"/>
          <w:szCs w:val="32"/>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yellow"/>
          <w:lang w:val="en-US" w:eastAsia="zh-CN"/>
        </w:rPr>
      </w:pPr>
      <w:r>
        <w:rPr>
          <w:rFonts w:hint="eastAsia" w:ascii="黑体" w:hAnsi="黑体" w:eastAsia="黑体" w:cs="Times New Roman"/>
          <w:b w:val="0"/>
          <w:bCs/>
          <w:color w:val="auto"/>
          <w:sz w:val="32"/>
          <w:szCs w:val="32"/>
          <w:lang w:val="en-US" w:eastAsia="zh-CN"/>
        </w:rPr>
        <w:t>八、供货时间及地点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rPr>
        <w:t>期望交货期：</w:t>
      </w:r>
      <w:r>
        <w:rPr>
          <w:rFonts w:hint="eastAsia" w:ascii="仿宋_GB2312" w:hAnsi="宋体" w:eastAsia="仿宋_GB2312" w:cs="仿宋_GB2312"/>
          <w:color w:val="auto"/>
          <w:sz w:val="32"/>
          <w:szCs w:val="32"/>
          <w:lang w:val="en-US" w:eastAsia="zh-CN"/>
        </w:rPr>
        <w:t>2026年10月1日前。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交货地点：淮北矿业股份有限公司仓储配送中心。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04CFE"/>
    <w:rsid w:val="000715D9"/>
    <w:rsid w:val="000833A8"/>
    <w:rsid w:val="000E538C"/>
    <w:rsid w:val="000E7BF2"/>
    <w:rsid w:val="0010013B"/>
    <w:rsid w:val="00182A22"/>
    <w:rsid w:val="001B0D18"/>
    <w:rsid w:val="00222DD2"/>
    <w:rsid w:val="0029249A"/>
    <w:rsid w:val="00295505"/>
    <w:rsid w:val="002D00EC"/>
    <w:rsid w:val="00307DF1"/>
    <w:rsid w:val="003122AD"/>
    <w:rsid w:val="00345027"/>
    <w:rsid w:val="0036740B"/>
    <w:rsid w:val="003A322E"/>
    <w:rsid w:val="0045040C"/>
    <w:rsid w:val="004809D4"/>
    <w:rsid w:val="004B271A"/>
    <w:rsid w:val="004C4CA7"/>
    <w:rsid w:val="00506E99"/>
    <w:rsid w:val="005A2DA8"/>
    <w:rsid w:val="00636F6F"/>
    <w:rsid w:val="006529D9"/>
    <w:rsid w:val="006719FF"/>
    <w:rsid w:val="00680029"/>
    <w:rsid w:val="006B6CBC"/>
    <w:rsid w:val="006B7C1A"/>
    <w:rsid w:val="00731765"/>
    <w:rsid w:val="00732994"/>
    <w:rsid w:val="00740CBE"/>
    <w:rsid w:val="00741D71"/>
    <w:rsid w:val="00753587"/>
    <w:rsid w:val="00771ADC"/>
    <w:rsid w:val="007E6BF3"/>
    <w:rsid w:val="008A1247"/>
    <w:rsid w:val="008C5315"/>
    <w:rsid w:val="008D498F"/>
    <w:rsid w:val="008E2854"/>
    <w:rsid w:val="008F4A1D"/>
    <w:rsid w:val="00920A6C"/>
    <w:rsid w:val="009867B3"/>
    <w:rsid w:val="009C4B63"/>
    <w:rsid w:val="00A227B6"/>
    <w:rsid w:val="00A26A18"/>
    <w:rsid w:val="00A441AB"/>
    <w:rsid w:val="00A6404C"/>
    <w:rsid w:val="00A92E4A"/>
    <w:rsid w:val="00AC4875"/>
    <w:rsid w:val="00B342F6"/>
    <w:rsid w:val="00B455B5"/>
    <w:rsid w:val="00B62BE2"/>
    <w:rsid w:val="00B82BEA"/>
    <w:rsid w:val="00BA2C2A"/>
    <w:rsid w:val="00BA6A3E"/>
    <w:rsid w:val="00BB6172"/>
    <w:rsid w:val="00BD4741"/>
    <w:rsid w:val="00C14B91"/>
    <w:rsid w:val="00C54F20"/>
    <w:rsid w:val="00C95729"/>
    <w:rsid w:val="00D16319"/>
    <w:rsid w:val="00D347A1"/>
    <w:rsid w:val="00D61E13"/>
    <w:rsid w:val="00D77280"/>
    <w:rsid w:val="00DA6D41"/>
    <w:rsid w:val="00DB0646"/>
    <w:rsid w:val="00E07CF4"/>
    <w:rsid w:val="00E200F4"/>
    <w:rsid w:val="00E45378"/>
    <w:rsid w:val="00E60EA2"/>
    <w:rsid w:val="00E659E0"/>
    <w:rsid w:val="00E721CA"/>
    <w:rsid w:val="00E92417"/>
    <w:rsid w:val="00E95E0B"/>
    <w:rsid w:val="00EB6B76"/>
    <w:rsid w:val="00F05269"/>
    <w:rsid w:val="00F12A89"/>
    <w:rsid w:val="00F17973"/>
    <w:rsid w:val="00F22F9D"/>
    <w:rsid w:val="00F22FA7"/>
    <w:rsid w:val="00F23C3C"/>
    <w:rsid w:val="00F754F6"/>
    <w:rsid w:val="00F92DDD"/>
    <w:rsid w:val="00F959BD"/>
    <w:rsid w:val="00F970B0"/>
    <w:rsid w:val="00FB0FB5"/>
    <w:rsid w:val="00FC0A4C"/>
    <w:rsid w:val="00FC2043"/>
    <w:rsid w:val="00FF6747"/>
    <w:rsid w:val="01253372"/>
    <w:rsid w:val="013712F7"/>
    <w:rsid w:val="01714809"/>
    <w:rsid w:val="018F2EE2"/>
    <w:rsid w:val="01FC3E31"/>
    <w:rsid w:val="020B6A0C"/>
    <w:rsid w:val="025F28B4"/>
    <w:rsid w:val="028E3199"/>
    <w:rsid w:val="043164D2"/>
    <w:rsid w:val="045B70AB"/>
    <w:rsid w:val="045F303F"/>
    <w:rsid w:val="04695C6C"/>
    <w:rsid w:val="049A5E25"/>
    <w:rsid w:val="04A66578"/>
    <w:rsid w:val="04E62E18"/>
    <w:rsid w:val="05171224"/>
    <w:rsid w:val="051E6A56"/>
    <w:rsid w:val="06403160"/>
    <w:rsid w:val="06C70A28"/>
    <w:rsid w:val="07300754"/>
    <w:rsid w:val="07554285"/>
    <w:rsid w:val="07782293"/>
    <w:rsid w:val="0849203C"/>
    <w:rsid w:val="08B57A15"/>
    <w:rsid w:val="09D86447"/>
    <w:rsid w:val="09E91AC6"/>
    <w:rsid w:val="09EA33AB"/>
    <w:rsid w:val="09F93DAC"/>
    <w:rsid w:val="0A51342A"/>
    <w:rsid w:val="0A5E78F5"/>
    <w:rsid w:val="0AC534D0"/>
    <w:rsid w:val="0AEE0C79"/>
    <w:rsid w:val="0B980BE5"/>
    <w:rsid w:val="0BC61FE3"/>
    <w:rsid w:val="0C2D306D"/>
    <w:rsid w:val="0C7358DA"/>
    <w:rsid w:val="0CF85DDF"/>
    <w:rsid w:val="0CFA3905"/>
    <w:rsid w:val="0D156991"/>
    <w:rsid w:val="0D954407"/>
    <w:rsid w:val="0DBA3094"/>
    <w:rsid w:val="0E402C25"/>
    <w:rsid w:val="0FF8374A"/>
    <w:rsid w:val="10817E99"/>
    <w:rsid w:val="113B273E"/>
    <w:rsid w:val="116379D3"/>
    <w:rsid w:val="116A6B7F"/>
    <w:rsid w:val="11F44C56"/>
    <w:rsid w:val="130152C1"/>
    <w:rsid w:val="133A3AD4"/>
    <w:rsid w:val="138C102F"/>
    <w:rsid w:val="14364B2C"/>
    <w:rsid w:val="150363A6"/>
    <w:rsid w:val="164B51D1"/>
    <w:rsid w:val="16656BFB"/>
    <w:rsid w:val="16D26B7A"/>
    <w:rsid w:val="16E12CF7"/>
    <w:rsid w:val="1703785A"/>
    <w:rsid w:val="179901BE"/>
    <w:rsid w:val="179B7A92"/>
    <w:rsid w:val="17D46E24"/>
    <w:rsid w:val="17DB4333"/>
    <w:rsid w:val="18371EB1"/>
    <w:rsid w:val="18407B24"/>
    <w:rsid w:val="1991739F"/>
    <w:rsid w:val="1B19569B"/>
    <w:rsid w:val="1B351FAC"/>
    <w:rsid w:val="1B397375"/>
    <w:rsid w:val="1B567AE8"/>
    <w:rsid w:val="1B766BE0"/>
    <w:rsid w:val="1BA64C58"/>
    <w:rsid w:val="1C626DD1"/>
    <w:rsid w:val="1C666E7C"/>
    <w:rsid w:val="1C872CDB"/>
    <w:rsid w:val="1CC57360"/>
    <w:rsid w:val="1CE95744"/>
    <w:rsid w:val="1D3C1D18"/>
    <w:rsid w:val="1D6628F1"/>
    <w:rsid w:val="1DA376A1"/>
    <w:rsid w:val="1DC13FCB"/>
    <w:rsid w:val="1E9240DD"/>
    <w:rsid w:val="1E990EF4"/>
    <w:rsid w:val="1EE937D9"/>
    <w:rsid w:val="1F742AAF"/>
    <w:rsid w:val="200E174E"/>
    <w:rsid w:val="21026DD4"/>
    <w:rsid w:val="212D20A3"/>
    <w:rsid w:val="21EB5ABA"/>
    <w:rsid w:val="222C235B"/>
    <w:rsid w:val="2273035C"/>
    <w:rsid w:val="23735D67"/>
    <w:rsid w:val="24AF1021"/>
    <w:rsid w:val="256736AA"/>
    <w:rsid w:val="2584425C"/>
    <w:rsid w:val="25F0544D"/>
    <w:rsid w:val="260E3B25"/>
    <w:rsid w:val="26AC4595"/>
    <w:rsid w:val="2755799F"/>
    <w:rsid w:val="275E288B"/>
    <w:rsid w:val="27B775BB"/>
    <w:rsid w:val="283261F1"/>
    <w:rsid w:val="283F090E"/>
    <w:rsid w:val="28D24C7D"/>
    <w:rsid w:val="28D56B7C"/>
    <w:rsid w:val="28F04CC7"/>
    <w:rsid w:val="290556B4"/>
    <w:rsid w:val="292B73C6"/>
    <w:rsid w:val="29523FB3"/>
    <w:rsid w:val="29A20040"/>
    <w:rsid w:val="29D46E34"/>
    <w:rsid w:val="2A312201"/>
    <w:rsid w:val="2BE45A54"/>
    <w:rsid w:val="2C1F4CDE"/>
    <w:rsid w:val="2C6E17C2"/>
    <w:rsid w:val="2C7C7A3B"/>
    <w:rsid w:val="2CAF6062"/>
    <w:rsid w:val="2D263E4A"/>
    <w:rsid w:val="2D6545C9"/>
    <w:rsid w:val="2D6A1F89"/>
    <w:rsid w:val="2E426A62"/>
    <w:rsid w:val="2E7B1F74"/>
    <w:rsid w:val="2EA96AE1"/>
    <w:rsid w:val="306E3B3E"/>
    <w:rsid w:val="30AC3F1C"/>
    <w:rsid w:val="30BD0622"/>
    <w:rsid w:val="31091AB9"/>
    <w:rsid w:val="31271F3F"/>
    <w:rsid w:val="31A67308"/>
    <w:rsid w:val="33182487"/>
    <w:rsid w:val="33E863EC"/>
    <w:rsid w:val="357065AB"/>
    <w:rsid w:val="358160C2"/>
    <w:rsid w:val="359C114E"/>
    <w:rsid w:val="362C5EEE"/>
    <w:rsid w:val="36444CF5"/>
    <w:rsid w:val="36767BF1"/>
    <w:rsid w:val="379320DC"/>
    <w:rsid w:val="38AD71CE"/>
    <w:rsid w:val="3A717533"/>
    <w:rsid w:val="3ABD5DEE"/>
    <w:rsid w:val="3AF13CEA"/>
    <w:rsid w:val="3B7D6B56"/>
    <w:rsid w:val="3B9528C7"/>
    <w:rsid w:val="3BE64ED1"/>
    <w:rsid w:val="3BEF7940"/>
    <w:rsid w:val="3C035857"/>
    <w:rsid w:val="3C430575"/>
    <w:rsid w:val="3C495A3B"/>
    <w:rsid w:val="3C6E4EC6"/>
    <w:rsid w:val="3C8F5DBD"/>
    <w:rsid w:val="3CC90F0B"/>
    <w:rsid w:val="3D602EDF"/>
    <w:rsid w:val="3E173A67"/>
    <w:rsid w:val="3E614CE2"/>
    <w:rsid w:val="3F143684"/>
    <w:rsid w:val="3F3E5E41"/>
    <w:rsid w:val="3F724CCD"/>
    <w:rsid w:val="3FF35E0E"/>
    <w:rsid w:val="40322DDA"/>
    <w:rsid w:val="403C1A73"/>
    <w:rsid w:val="40884C18"/>
    <w:rsid w:val="40B72191"/>
    <w:rsid w:val="417E5BAB"/>
    <w:rsid w:val="426C1EA8"/>
    <w:rsid w:val="42A4535B"/>
    <w:rsid w:val="42A930FC"/>
    <w:rsid w:val="42E44134"/>
    <w:rsid w:val="43A044FF"/>
    <w:rsid w:val="44150A49"/>
    <w:rsid w:val="44C22253"/>
    <w:rsid w:val="45AF4585"/>
    <w:rsid w:val="473E6F4C"/>
    <w:rsid w:val="483B298D"/>
    <w:rsid w:val="491C63D6"/>
    <w:rsid w:val="49254E40"/>
    <w:rsid w:val="49507E2D"/>
    <w:rsid w:val="49940662"/>
    <w:rsid w:val="49DD416C"/>
    <w:rsid w:val="4A0B01F8"/>
    <w:rsid w:val="4A2319E6"/>
    <w:rsid w:val="4B5005B9"/>
    <w:rsid w:val="4B6E4EE3"/>
    <w:rsid w:val="4B865D88"/>
    <w:rsid w:val="4BDC4A3D"/>
    <w:rsid w:val="4C115F9A"/>
    <w:rsid w:val="4CA30BBC"/>
    <w:rsid w:val="4D2F1389"/>
    <w:rsid w:val="4D7B7443"/>
    <w:rsid w:val="4DA42E3E"/>
    <w:rsid w:val="4E121B55"/>
    <w:rsid w:val="4E520E70"/>
    <w:rsid w:val="4E555EE6"/>
    <w:rsid w:val="4EFD249B"/>
    <w:rsid w:val="4F244236"/>
    <w:rsid w:val="4F2C5A50"/>
    <w:rsid w:val="4FA47125"/>
    <w:rsid w:val="4FAB6D53"/>
    <w:rsid w:val="4FBE01E7"/>
    <w:rsid w:val="50106568"/>
    <w:rsid w:val="50D00E58"/>
    <w:rsid w:val="5153495F"/>
    <w:rsid w:val="51EE4687"/>
    <w:rsid w:val="52036385"/>
    <w:rsid w:val="524532EE"/>
    <w:rsid w:val="537E2514"/>
    <w:rsid w:val="53DA4EC3"/>
    <w:rsid w:val="547C41CC"/>
    <w:rsid w:val="54970654"/>
    <w:rsid w:val="54CB3334"/>
    <w:rsid w:val="56705FB3"/>
    <w:rsid w:val="57392849"/>
    <w:rsid w:val="576A0974"/>
    <w:rsid w:val="587D6765"/>
    <w:rsid w:val="592B7F6F"/>
    <w:rsid w:val="595E6596"/>
    <w:rsid w:val="59B461B6"/>
    <w:rsid w:val="5AE96334"/>
    <w:rsid w:val="5B24111A"/>
    <w:rsid w:val="5C0827EA"/>
    <w:rsid w:val="5C177036"/>
    <w:rsid w:val="5DA03C89"/>
    <w:rsid w:val="5DAF1AB3"/>
    <w:rsid w:val="5E652175"/>
    <w:rsid w:val="5E8117C9"/>
    <w:rsid w:val="5EAD3CC4"/>
    <w:rsid w:val="5F916C3F"/>
    <w:rsid w:val="5FB971A7"/>
    <w:rsid w:val="5FD21144"/>
    <w:rsid w:val="5FEA0B84"/>
    <w:rsid w:val="60255718"/>
    <w:rsid w:val="6071095D"/>
    <w:rsid w:val="6121444D"/>
    <w:rsid w:val="613E6F99"/>
    <w:rsid w:val="61880654"/>
    <w:rsid w:val="61EC7E6A"/>
    <w:rsid w:val="629D5DF7"/>
    <w:rsid w:val="634E142A"/>
    <w:rsid w:val="641D1224"/>
    <w:rsid w:val="64405216"/>
    <w:rsid w:val="64485D56"/>
    <w:rsid w:val="648E3D43"/>
    <w:rsid w:val="64B81251"/>
    <w:rsid w:val="64DB4F3F"/>
    <w:rsid w:val="64F3053C"/>
    <w:rsid w:val="659F5F6D"/>
    <w:rsid w:val="65BA4B55"/>
    <w:rsid w:val="65E658BA"/>
    <w:rsid w:val="66297D75"/>
    <w:rsid w:val="66AF0431"/>
    <w:rsid w:val="66D25B39"/>
    <w:rsid w:val="67167D84"/>
    <w:rsid w:val="676E209B"/>
    <w:rsid w:val="6784541A"/>
    <w:rsid w:val="67F307F2"/>
    <w:rsid w:val="68BE3DFB"/>
    <w:rsid w:val="6A415844"/>
    <w:rsid w:val="6A4209A1"/>
    <w:rsid w:val="6A7D1633"/>
    <w:rsid w:val="6A7E0847"/>
    <w:rsid w:val="6B2C2051"/>
    <w:rsid w:val="6B87197D"/>
    <w:rsid w:val="6B96396E"/>
    <w:rsid w:val="6C0905E4"/>
    <w:rsid w:val="6CBC5656"/>
    <w:rsid w:val="6CC01B76"/>
    <w:rsid w:val="6CF16B90"/>
    <w:rsid w:val="6D06067F"/>
    <w:rsid w:val="6D9013CC"/>
    <w:rsid w:val="6DA700B4"/>
    <w:rsid w:val="6DF130DE"/>
    <w:rsid w:val="6E2E7E8E"/>
    <w:rsid w:val="6E922B12"/>
    <w:rsid w:val="6EB83BFB"/>
    <w:rsid w:val="6F1861C3"/>
    <w:rsid w:val="6F6B5112"/>
    <w:rsid w:val="6FA021AB"/>
    <w:rsid w:val="70366D4F"/>
    <w:rsid w:val="71CF3736"/>
    <w:rsid w:val="71D76A8E"/>
    <w:rsid w:val="72D336FA"/>
    <w:rsid w:val="730007AD"/>
    <w:rsid w:val="73A66718"/>
    <w:rsid w:val="750B71C1"/>
    <w:rsid w:val="753C7334"/>
    <w:rsid w:val="753E2F2F"/>
    <w:rsid w:val="7604036E"/>
    <w:rsid w:val="767E572A"/>
    <w:rsid w:val="77161C9D"/>
    <w:rsid w:val="773D3837"/>
    <w:rsid w:val="776963DA"/>
    <w:rsid w:val="77770370"/>
    <w:rsid w:val="78340796"/>
    <w:rsid w:val="78540210"/>
    <w:rsid w:val="78782D79"/>
    <w:rsid w:val="790A599B"/>
    <w:rsid w:val="79401932"/>
    <w:rsid w:val="79913EFF"/>
    <w:rsid w:val="7A1E16FE"/>
    <w:rsid w:val="7A996FD7"/>
    <w:rsid w:val="7B0568FD"/>
    <w:rsid w:val="7B0C52A3"/>
    <w:rsid w:val="7C280612"/>
    <w:rsid w:val="7C535C57"/>
    <w:rsid w:val="7C5C650E"/>
    <w:rsid w:val="7C705B15"/>
    <w:rsid w:val="7D9341B1"/>
    <w:rsid w:val="7DE452FD"/>
    <w:rsid w:val="7EA36676"/>
    <w:rsid w:val="7EF7251E"/>
    <w:rsid w:val="7F2D5F40"/>
    <w:rsid w:val="7F4219EB"/>
    <w:rsid w:val="7F460DAF"/>
    <w:rsid w:val="7F4820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semiHidden/>
    <w:unhideWhenUsed/>
    <w:qFormat/>
    <w:uiPriority w:val="99"/>
    <w:rPr>
      <w:sz w:val="24"/>
    </w:rPr>
  </w:style>
  <w:style w:type="character" w:styleId="10">
    <w:name w:val="Strong"/>
    <w:basedOn w:val="9"/>
    <w:qFormat/>
    <w:uiPriority w:val="22"/>
    <w:rPr>
      <w:b/>
    </w:rPr>
  </w:style>
  <w:style w:type="character" w:styleId="11">
    <w:name w:val="FollowedHyperlink"/>
    <w:basedOn w:val="9"/>
    <w:semiHidden/>
    <w:unhideWhenUsed/>
    <w:qFormat/>
    <w:uiPriority w:val="99"/>
    <w:rPr>
      <w:color w:val="800080"/>
      <w:u w:val="single"/>
    </w:rPr>
  </w:style>
  <w:style w:type="character" w:styleId="12">
    <w:name w:val="Hyperlink"/>
    <w:basedOn w:val="9"/>
    <w:semiHidden/>
    <w:unhideWhenUsed/>
    <w:qFormat/>
    <w:uiPriority w:val="99"/>
    <w:rPr>
      <w:color w:val="0000FF"/>
      <w:u w:val="single"/>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5"/>
    <w:basedOn w:val="9"/>
    <w:qFormat/>
    <w:uiPriority w:val="0"/>
  </w:style>
  <w:style w:type="paragraph" w:customStyle="1" w:styleId="17">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4c7bb00e-c51d-4c9a-9511-9adb87aba39b</errorID>
      <errorWord>,</errorWord>
      <group>L1_Format</group>
      <groupName>格式问题</groupName>
      <ability>L2_HalfPunc</ability>
      <abilityName>全半角检查</abilityName>
      <candidateList>
        <item>，</item>
      </candidateList>
      <explain>文本全半角错误。</explain>
      <paraID>503E87DC</paraID>
      <start>16</start>
      <end>17</end>
      <status>modified</status>
      <modifiedWord>，</modifiedWord>
      <trackRevisions>false</trackRevisions>
    </reviewItem>
    <reviewItem>
      <errorID>463a12ec-5648-4900-b9f7-426edd9a5f15</errorID>
      <errorWord>(</errorWord>
      <group>L1_Format</group>
      <groupName>格式问题</groupName>
      <ability>L2_HalfPunc</ability>
      <abilityName>全半角检查</abilityName>
      <candidateList>
        <item>（</item>
      </candidateList>
      <explain>文本全半角错误。</explain>
      <paraID>7EEAD623</paraID>
      <start>54</start>
      <end>55</end>
      <status>modified</status>
      <modifiedWord>（</modifiedWord>
      <trackRevisions>false</trackRevisions>
    </reviewItem>
    <reviewItem>
      <errorID>511b64a1-2995-4679-b5e6-675d14169a56</errorID>
      <errorWord>),</errorWord>
      <group>L1_Format</group>
      <groupName>格式问题</groupName>
      <ability>L2_HalfPunc</ability>
      <abilityName>全半角检查</abilityName>
      <candidateList>
        <item>），</item>
      </candidateList>
      <explain>文本全半角错误。</explain>
      <paraID>7EEAD623</paraID>
      <start>61</start>
      <end>63</end>
      <status>modified</status>
      <modifiedWord>），</modifiedWord>
      <trackRevisions>false</trackRevisions>
    </reviewItem>
    <reviewItem>
      <errorID>11007410-e3a2-46c2-b34d-df80857e2eed</errorID>
      <errorWord>,</errorWord>
      <group>L1_Format</group>
      <groupName>格式问题</groupName>
      <ability>L2_HalfPunc</ability>
      <abilityName>全半角检查</abilityName>
      <candidateList>
        <item>，</item>
      </candidateList>
      <explain>文本全半角错误。</explain>
      <paraID>7EEAD623</paraID>
      <start>69</start>
      <end>70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c8f971e7-2c13-4680-97c8-cc926c80c02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1556</Words>
  <Characters>1801</Characters>
  <Lines>7</Lines>
  <Paragraphs>2</Paragraphs>
  <TotalTime>0</TotalTime>
  <ScaleCrop>false</ScaleCrop>
  <LinksUpToDate>false</LinksUpToDate>
  <CharactersWithSpaces>1811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2025-12-18T09:16:00Z</cp:lastPrinted>
  <dcterms:modified xsi:type="dcterms:W3CDTF">2026-02-04T09:29:57Z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2C6BD380D8DC4B05A80AA80E649CBAA7_13</vt:lpwstr>
  </property>
  <property fmtid="{D5CDD505-2E9C-101B-9397-08002B2CF9AE}" pid="4" name="KSOTemplateDocerSaveRecord">
    <vt:lpwstr>eyJoZGlkIjoiNDFkYTIzY2QwMDgyNjI5ZjY2ZDBmZDE0MzMxOTFmYTUiLCJ1c2VySWQiOiI1NTA5MTYzMjkifQ==</vt:lpwstr>
  </property>
</Properties>
</file>